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ind w:firstLine="480" w:firstLineChars="200"/>
              <w:rPr>
                <w:rFonts w:hint="eastAsia" w:ascii="仿宋" w:hAnsi="仿宋" w:eastAsia="仿宋"/>
                <w:sz w:val="24"/>
                <w:szCs w:val="24"/>
              </w:rPr>
            </w:pPr>
            <w:r>
              <w:rPr>
                <w:rFonts w:hint="eastAsia" w:ascii="仿宋" w:hAnsi="仿宋" w:eastAsia="仿宋"/>
                <w:sz w:val="24"/>
                <w:szCs w:val="24"/>
              </w:rPr>
              <w:t>李峰</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rFonts w:ascii="仿宋" w:hAnsi="仿宋" w:eastAsia="仿宋"/>
                <w:sz w:val="24"/>
                <w:szCs w:val="24"/>
              </w:rPr>
            </w:pPr>
            <w:r>
              <w:rPr>
                <w:rFonts w:hint="eastAsia" w:ascii="仿宋" w:hAnsi="仿宋" w:eastAsia="仿宋"/>
                <w:sz w:val="24"/>
                <w:szCs w:val="24"/>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rFonts w:ascii="仿宋" w:hAnsi="仿宋" w:eastAsia="仿宋"/>
                <w:sz w:val="24"/>
                <w:szCs w:val="24"/>
              </w:rPr>
            </w:pPr>
            <w:r>
              <w:rPr>
                <w:rFonts w:hint="eastAsia" w:ascii="仿宋" w:hAnsi="仿宋" w:eastAsia="仿宋"/>
                <w:sz w:val="24"/>
                <w:szCs w:val="24"/>
              </w:rPr>
              <w:t>国家自然科学基金</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rFonts w:ascii="仿宋" w:hAnsi="仿宋" w:eastAsia="仿宋"/>
                <w:sz w:val="24"/>
                <w:szCs w:val="24"/>
              </w:rPr>
            </w:pPr>
            <w:r>
              <w:rPr>
                <w:rFonts w:hint="eastAsia" w:ascii="仿宋" w:hAnsi="仿宋" w:eastAsia="仿宋"/>
                <w:sz w:val="24"/>
                <w:szCs w:val="24"/>
              </w:rPr>
              <w:t>考虑系统交互关系的决策单元组合效率评价方法及其应用研究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ind w:firstLine="480" w:firstLineChars="200"/>
              <w:rPr>
                <w:rFonts w:ascii="仿宋" w:hAnsi="仿宋" w:eastAsia="仿宋"/>
                <w:sz w:val="24"/>
                <w:szCs w:val="24"/>
              </w:rPr>
            </w:pPr>
            <w:r>
              <w:rPr>
                <w:rFonts w:ascii="仿宋" w:hAnsi="仿宋" w:eastAsia="仿宋"/>
                <w:sz w:val="24"/>
                <w:szCs w:val="24"/>
              </w:rPr>
              <w:t>71901178</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rFonts w:ascii="仿宋" w:hAnsi="仿宋" w:eastAsia="仿宋"/>
                <w:sz w:val="24"/>
                <w:szCs w:val="24"/>
              </w:rPr>
            </w:pPr>
            <w:r>
              <w:rPr>
                <w:rFonts w:hint="eastAsia" w:ascii="仿宋" w:hAnsi="仿宋" w:eastAsia="仿宋"/>
                <w:sz w:val="24"/>
                <w:szCs w:val="24"/>
              </w:rPr>
              <w:t>运筹学/评价理论与方法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ind w:firstLine="480" w:firstLineChars="200"/>
              <w:rPr>
                <w:rFonts w:ascii="仿宋" w:hAnsi="仿宋" w:eastAsia="仿宋"/>
                <w:sz w:val="24"/>
                <w:szCs w:val="24"/>
              </w:rPr>
            </w:pPr>
            <w:r>
              <w:rPr>
                <w:rFonts w:hint="eastAsia" w:ascii="仿宋" w:hAnsi="仿宋" w:eastAsia="仿宋"/>
                <w:sz w:val="24"/>
                <w:szCs w:val="24"/>
              </w:rPr>
              <w:t>传统的数据包络分析理论只应用于单个的独立决策单元，而本课题立足于决策单元可能的组合，从考虑系统交互关系的视角出发，研究目的是构建一整套科学的决策单元组合效率评价方法。按照数据包络分析方法效率评价过程中的权重、指标与决策单元三要素，本课题的研究内容主要包括（a）考虑相对权重交互关系的决策单元组合效率评价、（b）考虑投入产出指标交互关系的决策单元组合效率评价以及（c）考虑决策单元交互关系的决策单元组合效率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ind w:firstLine="480" w:firstLineChars="200"/>
              <w:rPr>
                <w:rFonts w:hint="eastAsia" w:ascii="仿宋" w:hAnsi="仿宋" w:eastAsia="仿宋"/>
                <w:sz w:val="24"/>
                <w:szCs w:val="24"/>
              </w:rPr>
            </w:pPr>
            <w:r>
              <w:rPr>
                <w:rFonts w:hint="eastAsia" w:ascii="仿宋" w:hAnsi="仿宋" w:eastAsia="仿宋"/>
                <w:sz w:val="24"/>
                <w:szCs w:val="24"/>
              </w:rPr>
              <w:t>考虑总量控制特征的能源环境效率评价研究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（对申报项目学生的科研素养及专业要求等）</w:t>
            </w:r>
          </w:p>
          <w:p>
            <w:pPr>
              <w:ind w:firstLine="480" w:firstLineChars="200"/>
              <w:rPr>
                <w:rFonts w:ascii="仿宋" w:hAnsi="仿宋" w:eastAsia="仿宋"/>
                <w:sz w:val="24"/>
                <w:szCs w:val="24"/>
              </w:rPr>
            </w:pPr>
          </w:p>
          <w:p>
            <w:pPr>
              <w:ind w:firstLine="480" w:firstLineChars="200"/>
              <w:rPr>
                <w:rFonts w:hint="eastAsia" w:ascii="仿宋" w:hAnsi="仿宋" w:eastAsia="仿宋"/>
                <w:sz w:val="24"/>
                <w:szCs w:val="24"/>
              </w:rPr>
            </w:pPr>
            <w:r>
              <w:rPr>
                <w:rFonts w:hint="eastAsia" w:ascii="仿宋" w:hAnsi="仿宋" w:eastAsia="仿宋"/>
                <w:sz w:val="24"/>
                <w:szCs w:val="24"/>
              </w:rPr>
              <w:t>数学基础好，具有运筹学、线性代数、数学建模等课程知识基础或经验，能够使用至少一种计算机工具进行数学模型求解计算。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rFonts w:hint="eastAsia"/>
                <w:sz w:val="24"/>
                <w:szCs w:val="24"/>
              </w:rPr>
            </w:pPr>
            <w:r>
              <w:rPr>
                <w:rFonts w:hint="eastAsia"/>
                <w:sz w:val="24"/>
                <w:szCs w:val="24"/>
              </w:rPr>
              <w:t>（拟设项目研究内容、实施过程及成效要求；1000字以内）</w:t>
            </w:r>
          </w:p>
          <w:p>
            <w:pPr>
              <w:widowControl/>
              <w:ind w:firstLine="480" w:firstLineChars="200"/>
              <w:rPr>
                <w:rStyle w:val="5"/>
              </w:rPr>
            </w:pPr>
          </w:p>
          <w:p>
            <w:pPr>
              <w:widowControl/>
              <w:ind w:firstLine="480" w:firstLineChars="200"/>
              <w:rPr>
                <w:rStyle w:val="5"/>
                <w:rFonts w:hint="default"/>
              </w:rPr>
            </w:pPr>
            <w:r>
              <w:rPr>
                <w:rStyle w:val="5"/>
                <w:rFonts w:hint="default"/>
              </w:rPr>
              <w:t>改革开放四十年来，我国取得了巨大的经济成就与社会发展成果。但与此同时，我国也愈发受到能源与环境问题的困扰。 能源消耗总量增加，环境污染加剧，已成为制约我国经济社会可持续发展的重要障碍。在此背景下，提升能源环境效率不仅是全中国进行生态文明建设的客观要求，也是我国社会主义社会在历史重要阶段实现经济社会可持续发展的必然选择。值得注意的是，在我国的能源环境治理领域里，普遍存在着关于能源消耗总量和污染物排放总量的总量控制政策。比如，国务院在《生态文明体制改革总体方案》（</w:t>
            </w:r>
            <w:r>
              <w:rPr>
                <w:rStyle w:val="6"/>
              </w:rPr>
              <w:t>2015</w:t>
            </w:r>
            <w:r>
              <w:rPr>
                <w:rStyle w:val="5"/>
                <w:rFonts w:hint="default"/>
              </w:rPr>
              <w:t>）中明确提出，要“建立能源消费总量管理和节约制度”，要“建立全国碳排放总量控制制度”，国务院在《“十三五”节能减排综合工作方案》（</w:t>
            </w:r>
            <w:r>
              <w:rPr>
                <w:rStyle w:val="6"/>
              </w:rPr>
              <w:t>2016</w:t>
            </w:r>
            <w:r>
              <w:rPr>
                <w:rStyle w:val="5"/>
                <w:rFonts w:hint="default"/>
              </w:rPr>
              <w:t xml:space="preserve">）中明确指出，“到 </w:t>
            </w:r>
            <w:r>
              <w:rPr>
                <w:rStyle w:val="6"/>
              </w:rPr>
              <w:t xml:space="preserve">2020 </w:t>
            </w:r>
            <w:r>
              <w:rPr>
                <w:rStyle w:val="5"/>
                <w:rFonts w:hint="default"/>
              </w:rPr>
              <w:t xml:space="preserve">年， </w:t>
            </w:r>
            <w:r>
              <w:rPr>
                <w:rStyle w:val="6"/>
              </w:rPr>
              <w:t>…</w:t>
            </w:r>
            <w:r>
              <w:rPr>
                <w:rStyle w:val="5"/>
                <w:rFonts w:hint="default"/>
              </w:rPr>
              <w:t xml:space="preserve">能源消费总量控制在 </w:t>
            </w:r>
            <w:r>
              <w:rPr>
                <w:rStyle w:val="6"/>
              </w:rPr>
              <w:t xml:space="preserve">50 </w:t>
            </w:r>
            <w:r>
              <w:rPr>
                <w:rStyle w:val="5"/>
                <w:rFonts w:hint="default"/>
              </w:rPr>
              <w:t>亿吨标准煤以内”，《中华人民共和国大气污染防治法（</w:t>
            </w:r>
            <w:r>
              <w:rPr>
                <w:rStyle w:val="6"/>
              </w:rPr>
              <w:t xml:space="preserve">2018 </w:t>
            </w:r>
            <w:r>
              <w:rPr>
                <w:rStyle w:val="5"/>
                <w:rFonts w:hint="default"/>
              </w:rPr>
              <w:t>修订）》 也明确规定了“重点大气污染物排放总量控制目标”，并且，“省、自治区、直辖市人民政府应当按照国务院下达的总量控制目标，控制或者削减本行政区域的重点大气污染物排放总量”。由此可见，总量控制政策是我国能源环境治理中的现实特征，也是能源环境效率评价与改进过程中必须重点考虑的客观要求。</w:t>
            </w:r>
            <w:r>
              <w:rPr>
                <w:rStyle w:val="5"/>
              </w:rPr>
              <w:t>本项目将结合我国能源环境治理问题里的总量控制政策，建立考虑指标固定和约束的评价方法</w:t>
            </w:r>
            <w:r>
              <w:rPr>
                <w:rStyle w:val="5"/>
                <w:rFonts w:hint="default"/>
              </w:rPr>
              <w:t>，</w:t>
            </w:r>
            <w:r>
              <w:rPr>
                <w:rFonts w:hint="eastAsia"/>
              </w:rPr>
              <w:t>并</w:t>
            </w:r>
            <w:r>
              <w:rPr>
                <w:rStyle w:val="5"/>
                <w:rFonts w:hint="default"/>
              </w:rPr>
              <w:t>应用于我国能源环境效率评价与改进的实际问题，为目前我国绿色低碳发展与控制污染以及建立节约循环高效的资源利用体系</w:t>
            </w:r>
            <w:r>
              <w:rPr>
                <w:rStyle w:val="6"/>
              </w:rPr>
              <w:t xml:space="preserve">, </w:t>
            </w:r>
            <w:r>
              <w:rPr>
                <w:rStyle w:val="5"/>
                <w:rFonts w:hint="default"/>
              </w:rPr>
              <w:t>全面提升能源环境效率提供有价值的决策依据与支撑工具。</w:t>
            </w:r>
          </w:p>
          <w:p>
            <w:pPr>
              <w:widowControl/>
              <w:ind w:firstLine="480" w:firstLineChars="200"/>
              <w:rPr>
                <w:rFonts w:ascii="仿宋" w:hAnsi="仿宋" w:eastAsia="仿宋"/>
                <w:color w:val="000000"/>
                <w:sz w:val="24"/>
                <w:szCs w:val="24"/>
              </w:rPr>
            </w:pPr>
            <w:r>
              <w:rPr>
                <w:rStyle w:val="5"/>
                <w:rFonts w:hint="default"/>
              </w:rPr>
              <w:t>本项目拟重点发展一套总量控制政策下满足产出固定和条件的效率评价理论与方法，</w:t>
            </w:r>
            <w:r>
              <w:rPr>
                <w:rFonts w:hint="eastAsia" w:ascii="仿宋" w:hAnsi="仿宋" w:eastAsia="仿宋"/>
                <w:color w:val="000000"/>
                <w:sz w:val="24"/>
                <w:szCs w:val="24"/>
              </w:rPr>
              <w:t>理论成果将主要应用于我国的能源环境效率评价与改进实践。</w:t>
            </w:r>
          </w:p>
          <w:p>
            <w:pPr>
              <w:widowControl/>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本项目需要学生在指导老师指导下，对能源环境效率评价中的现象和制度进行建模并求解，还需要学生搜集数据进行实证应用，并在此基础上分析结果，给出政策建议等。</w:t>
            </w:r>
          </w:p>
          <w:p>
            <w:pPr>
              <w:widowControl/>
              <w:rPr>
                <w:rFonts w:hint="eastAsia"/>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16709A"/>
    <w:rsid w:val="001C1605"/>
    <w:rsid w:val="001F1898"/>
    <w:rsid w:val="002C2AFC"/>
    <w:rsid w:val="00362B12"/>
    <w:rsid w:val="004E6E65"/>
    <w:rsid w:val="00520AA2"/>
    <w:rsid w:val="005E6263"/>
    <w:rsid w:val="007F2A77"/>
    <w:rsid w:val="00885A4F"/>
    <w:rsid w:val="008D5DAD"/>
    <w:rsid w:val="00A46E27"/>
    <w:rsid w:val="00BF0494"/>
    <w:rsid w:val="00C93A71"/>
    <w:rsid w:val="00D41BDD"/>
    <w:rsid w:val="00D734A6"/>
    <w:rsid w:val="00D87D57"/>
    <w:rsid w:val="00DF0509"/>
    <w:rsid w:val="00E1368F"/>
    <w:rsid w:val="00EB3C49"/>
    <w:rsid w:val="00FB0841"/>
    <w:rsid w:val="00FF48C1"/>
    <w:rsid w:val="06825E37"/>
    <w:rsid w:val="0D0C1773"/>
    <w:rsid w:val="0E6B4B00"/>
    <w:rsid w:val="1484231B"/>
    <w:rsid w:val="16960943"/>
    <w:rsid w:val="22F3444D"/>
    <w:rsid w:val="319262CF"/>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style01"/>
    <w:basedOn w:val="4"/>
    <w:qFormat/>
    <w:uiPriority w:val="0"/>
    <w:rPr>
      <w:rFonts w:hint="eastAsia" w:ascii="仿宋" w:hAnsi="仿宋" w:eastAsia="仿宋"/>
      <w:color w:val="000000"/>
      <w:sz w:val="24"/>
      <w:szCs w:val="24"/>
    </w:rPr>
  </w:style>
  <w:style w:type="character" w:customStyle="1" w:styleId="6">
    <w:name w:val="fontstyle11"/>
    <w:basedOn w:val="4"/>
    <w:qFormat/>
    <w:uiPriority w:val="0"/>
    <w:rPr>
      <w:rFonts w:hint="default" w:ascii="TimesNewRomanPSMT" w:hAnsi="TimesNewRomanPSMT"/>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02FCF8-F56F-40C2-AB7B-5CBE0BFCF3AB}">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2</Pages>
  <Words>689</Words>
  <Characters>696</Characters>
  <Lines>58</Lines>
  <Paragraphs>35</Paragraphs>
  <TotalTime>157</TotalTime>
  <ScaleCrop>false</ScaleCrop>
  <LinksUpToDate>false</LinksUpToDate>
  <CharactersWithSpaces>1350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2021-03-26T06:45:04Z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